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63" w:rsidRPr="00555D63" w:rsidRDefault="00555D63" w:rsidP="00555D63">
      <w:pPr>
        <w:spacing w:after="0" w:line="240" w:lineRule="auto"/>
        <w:jc w:val="center"/>
        <w:rPr>
          <w:rFonts w:ascii="Arial" w:eastAsia="Times New Roman" w:hAnsi="Arial" w:cs="Arial"/>
          <w:color w:val="A6402C"/>
          <w:sz w:val="32"/>
          <w:szCs w:val="32"/>
        </w:rPr>
      </w:pPr>
      <w:r w:rsidRPr="00555D63">
        <w:rPr>
          <w:rFonts w:ascii="Arial" w:eastAsia="Times New Roman" w:hAnsi="Arial" w:cs="Arial"/>
          <w:b/>
          <w:bCs/>
          <w:color w:val="A6402C"/>
          <w:sz w:val="32"/>
          <w:szCs w:val="32"/>
        </w:rPr>
        <w:t>Real Median Household Incomes: </w:t>
      </w:r>
      <w:r w:rsidRPr="00555D63">
        <w:rPr>
          <w:rFonts w:ascii="Arial" w:eastAsia="Times New Roman" w:hAnsi="Arial" w:cs="Arial"/>
          <w:b/>
          <w:bCs/>
          <w:color w:val="A6402C"/>
          <w:sz w:val="32"/>
          <w:szCs w:val="32"/>
        </w:rPr>
        <w:br/>
        <w:t>Excruciatingly Slow and Erratic Improvement</w:t>
      </w:r>
    </w:p>
    <w:p w:rsidR="00555D63" w:rsidRPr="00555D63" w:rsidRDefault="00555D63" w:rsidP="00555D63">
      <w:pPr>
        <w:spacing w:after="0" w:line="240" w:lineRule="auto"/>
        <w:jc w:val="center"/>
        <w:rPr>
          <w:rFonts w:ascii="Arial" w:eastAsia="Times New Roman" w:hAnsi="Arial" w:cs="Arial"/>
          <w:color w:val="000000"/>
          <w:sz w:val="21"/>
          <w:szCs w:val="21"/>
        </w:rPr>
      </w:pPr>
      <w:r w:rsidRPr="00555D63">
        <w:rPr>
          <w:rFonts w:ascii="Arial" w:eastAsia="Times New Roman" w:hAnsi="Arial" w:cs="Arial"/>
          <w:color w:val="000000"/>
          <w:sz w:val="21"/>
          <w:szCs w:val="21"/>
        </w:rPr>
        <w:t>By Doug Short</w:t>
      </w:r>
    </w:p>
    <w:p w:rsidR="00555D63" w:rsidRPr="00555D63" w:rsidRDefault="00555D63" w:rsidP="00555D63">
      <w:pPr>
        <w:spacing w:after="0" w:line="240" w:lineRule="auto"/>
        <w:jc w:val="center"/>
        <w:rPr>
          <w:rFonts w:ascii="Arial" w:eastAsia="Times New Roman" w:hAnsi="Arial" w:cs="Arial"/>
          <w:color w:val="000000"/>
          <w:sz w:val="21"/>
          <w:szCs w:val="21"/>
        </w:rPr>
      </w:pPr>
      <w:r w:rsidRPr="00555D63">
        <w:rPr>
          <w:rFonts w:ascii="Arial" w:eastAsia="Times New Roman" w:hAnsi="Arial" w:cs="Arial"/>
          <w:color w:val="000000"/>
          <w:sz w:val="21"/>
          <w:szCs w:val="21"/>
        </w:rPr>
        <w:t>December 6, 2013 (Monthly Update)</w:t>
      </w:r>
    </w:p>
    <w:p w:rsidR="006248A5" w:rsidRDefault="00555D63"/>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b/>
          <w:bCs/>
          <w:color w:val="000000"/>
          <w:sz w:val="21"/>
          <w:szCs w:val="21"/>
        </w:rPr>
        <w:t>Overview</w:t>
      </w:r>
      <w:r w:rsidRPr="00555D63">
        <w:rPr>
          <w:rFonts w:ascii="Arial" w:eastAsia="Times New Roman" w:hAnsi="Arial" w:cs="Arial"/>
          <w:color w:val="000000"/>
          <w:sz w:val="21"/>
          <w:szCs w:val="21"/>
        </w:rPr>
        <w:t xml:space="preserve">: The </w:t>
      </w:r>
      <w:proofErr w:type="spellStart"/>
      <w:r w:rsidRPr="00555D63">
        <w:rPr>
          <w:rFonts w:ascii="Arial" w:eastAsia="Times New Roman" w:hAnsi="Arial" w:cs="Arial"/>
          <w:color w:val="000000"/>
          <w:sz w:val="21"/>
          <w:szCs w:val="21"/>
        </w:rPr>
        <w:t>Sentier</w:t>
      </w:r>
      <w:proofErr w:type="spellEnd"/>
      <w:r w:rsidRPr="00555D63">
        <w:rPr>
          <w:rFonts w:ascii="Arial" w:eastAsia="Times New Roman" w:hAnsi="Arial" w:cs="Arial"/>
          <w:color w:val="000000"/>
          <w:sz w:val="21"/>
          <w:szCs w:val="21"/>
        </w:rPr>
        <w:t xml:space="preserve"> Research monthly median household income data series is now available for October. Nominal median household incomes were down $230 month-over-month but up $704 year-over-year. However, adjusted for inflation, real incomes increased only $199 </w:t>
      </w:r>
      <w:proofErr w:type="spellStart"/>
      <w:r w:rsidRPr="00555D63">
        <w:rPr>
          <w:rFonts w:ascii="Arial" w:eastAsia="Times New Roman" w:hAnsi="Arial" w:cs="Arial"/>
          <w:color w:val="000000"/>
          <w:sz w:val="21"/>
          <w:szCs w:val="21"/>
        </w:rPr>
        <w:t>MoM</w:t>
      </w:r>
      <w:proofErr w:type="spellEnd"/>
      <w:r w:rsidRPr="00555D63">
        <w:rPr>
          <w:rFonts w:ascii="Arial" w:eastAsia="Times New Roman" w:hAnsi="Arial" w:cs="Arial"/>
          <w:color w:val="000000"/>
          <w:sz w:val="21"/>
          <w:szCs w:val="21"/>
        </w:rPr>
        <w:t xml:space="preserve"> and are up only $217 </w:t>
      </w:r>
      <w:proofErr w:type="spellStart"/>
      <w:r w:rsidRPr="00555D63">
        <w:rPr>
          <w:rFonts w:ascii="Arial" w:eastAsia="Times New Roman" w:hAnsi="Arial" w:cs="Arial"/>
          <w:color w:val="000000"/>
          <w:sz w:val="21"/>
          <w:szCs w:val="21"/>
        </w:rPr>
        <w:t>YoY</w:t>
      </w:r>
      <w:proofErr w:type="spellEnd"/>
      <w:r w:rsidRPr="00555D63">
        <w:rPr>
          <w:rFonts w:ascii="Arial" w:eastAsia="Times New Roman" w:hAnsi="Arial" w:cs="Arial"/>
          <w:color w:val="000000"/>
          <w:sz w:val="21"/>
          <w:szCs w:val="21"/>
        </w:rPr>
        <w:t xml:space="preserve"> (-0.4% and 0.4%, respectively). And these numbers do not factor in the expiration of the 2% FICA tax cut. The median real household income is up only 2.7% since its Financial Crisis trough set in the summer of 2011, now 26 months later. Improvement has been excruciatingly slow and erratic.</w:t>
      </w:r>
    </w:p>
    <w:p w:rsidR="00555D63" w:rsidRPr="00555D63" w:rsidRDefault="00555D63" w:rsidP="00555D63">
      <w:pPr>
        <w:spacing w:after="0" w:line="240" w:lineRule="auto"/>
        <w:rPr>
          <w:rFonts w:ascii="Times New Roman" w:eastAsia="Times New Roman" w:hAnsi="Times New Roman" w:cs="Times New Roman"/>
          <w:sz w:val="24"/>
          <w:szCs w:val="24"/>
        </w:rPr>
      </w:pPr>
      <w:r w:rsidRPr="00555D63">
        <w:rPr>
          <w:rFonts w:ascii="Times New Roman" w:eastAsia="Times New Roman" w:hAnsi="Times New Roman" w:cs="Times New Roman"/>
          <w:sz w:val="24"/>
          <w:szCs w:val="24"/>
        </w:rPr>
        <w:pict>
          <v:rect id="_x0000_i1025" style="width:142.5pt;height:.75pt" o:hrpct="0" o:hrstd="t" o:hrnoshade="t" o:hr="t" fillcolor="black" stroked="f"/>
        </w:pic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The traditional source of household income data is the Census Bureau, which publishes annual household income data in mid-September for the previous year. The 2012 annual updates were published last week.</w:t>
      </w:r>
    </w:p>
    <w:p w:rsidR="00555D63" w:rsidRPr="00555D63" w:rsidRDefault="00555D63" w:rsidP="00555D63">
      <w:pPr>
        <w:spacing w:after="240" w:line="240" w:lineRule="auto"/>
        <w:rPr>
          <w:rFonts w:ascii="Arial" w:eastAsia="Times New Roman" w:hAnsi="Arial" w:cs="Arial"/>
          <w:color w:val="000000"/>
          <w:sz w:val="21"/>
          <w:szCs w:val="21"/>
        </w:rPr>
      </w:pPr>
      <w:hyperlink r:id="rId5" w:tgtFrame="_blank" w:history="1">
        <w:proofErr w:type="spellStart"/>
        <w:r w:rsidRPr="00555D63">
          <w:rPr>
            <w:rFonts w:ascii="Arial" w:eastAsia="Times New Roman" w:hAnsi="Arial" w:cs="Arial"/>
            <w:color w:val="0000FF"/>
            <w:sz w:val="21"/>
            <w:szCs w:val="21"/>
            <w:u w:val="single"/>
          </w:rPr>
          <w:t>Sentier</w:t>
        </w:r>
        <w:proofErr w:type="spellEnd"/>
        <w:r w:rsidRPr="00555D63">
          <w:rPr>
            <w:rFonts w:ascii="Arial" w:eastAsia="Times New Roman" w:hAnsi="Arial" w:cs="Arial"/>
            <w:color w:val="0000FF"/>
            <w:sz w:val="21"/>
            <w:szCs w:val="21"/>
            <w:u w:val="single"/>
          </w:rPr>
          <w:t xml:space="preserve"> Research</w:t>
        </w:r>
      </w:hyperlink>
      <w:r w:rsidRPr="00555D63">
        <w:rPr>
          <w:rFonts w:ascii="Arial" w:eastAsia="Times New Roman" w:hAnsi="Arial" w:cs="Arial"/>
          <w:color w:val="000000"/>
          <w:sz w:val="21"/>
          <w:szCs w:val="21"/>
        </w:rPr>
        <w:t xml:space="preserve">, an organization that focuses on income and demographics, offers a more up-to-date glimpse of household incomes by accessing the Census Bureau data and publishing monthly updates. </w:t>
      </w:r>
      <w:proofErr w:type="spellStart"/>
      <w:r w:rsidRPr="00555D63">
        <w:rPr>
          <w:rFonts w:ascii="Arial" w:eastAsia="Times New Roman" w:hAnsi="Arial" w:cs="Arial"/>
          <w:color w:val="000000"/>
          <w:sz w:val="21"/>
          <w:szCs w:val="21"/>
        </w:rPr>
        <w:t>Sentier</w:t>
      </w:r>
      <w:proofErr w:type="spellEnd"/>
      <w:r w:rsidRPr="00555D63">
        <w:rPr>
          <w:rFonts w:ascii="Arial" w:eastAsia="Times New Roman" w:hAnsi="Arial" w:cs="Arial"/>
          <w:color w:val="000000"/>
          <w:sz w:val="21"/>
          <w:szCs w:val="21"/>
        </w:rPr>
        <w:t xml:space="preserve"> Research has now released its most recent update, data through October (available </w:t>
      </w:r>
      <w:hyperlink r:id="rId6" w:tgtFrame="_blank" w:history="1">
        <w:r w:rsidRPr="00555D63">
          <w:rPr>
            <w:rFonts w:ascii="Arial" w:eastAsia="Times New Roman" w:hAnsi="Arial" w:cs="Arial"/>
            <w:color w:val="0000FF"/>
            <w:sz w:val="21"/>
            <w:szCs w:val="21"/>
            <w:u w:val="single"/>
          </w:rPr>
          <w:t>here</w:t>
        </w:r>
      </w:hyperlink>
      <w:r w:rsidRPr="00555D63">
        <w:rPr>
          <w:rFonts w:ascii="Arial" w:eastAsia="Times New Roman" w:hAnsi="Arial" w:cs="Arial"/>
          <w:color w:val="000000"/>
          <w:sz w:val="21"/>
          <w:szCs w:val="21"/>
        </w:rPr>
        <w:t>). The data in their report differs from the Census Bureau's data in three key respects:</w:t>
      </w:r>
    </w:p>
    <w:p w:rsidR="00555D63" w:rsidRPr="00555D63" w:rsidRDefault="00555D63" w:rsidP="00555D63">
      <w:pPr>
        <w:numPr>
          <w:ilvl w:val="0"/>
          <w:numId w:val="1"/>
        </w:num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It is a monthly rather than annual series, which gives a more granular view of trends.</w:t>
      </w:r>
    </w:p>
    <w:p w:rsidR="00555D63" w:rsidRPr="00555D63" w:rsidRDefault="00555D63" w:rsidP="00555D63">
      <w:pPr>
        <w:numPr>
          <w:ilvl w:val="0"/>
          <w:numId w:val="1"/>
        </w:num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Their numbers are more current. The Census Bureau's 2012 data will remain its latest until September 2014.</w:t>
      </w:r>
    </w:p>
    <w:p w:rsidR="00555D63" w:rsidRPr="00555D63" w:rsidRDefault="00555D63" w:rsidP="00555D63">
      <w:pPr>
        <w:numPr>
          <w:ilvl w:val="0"/>
          <w:numId w:val="1"/>
        </w:numPr>
        <w:spacing w:after="100" w:line="240" w:lineRule="auto"/>
        <w:rPr>
          <w:rFonts w:ascii="Arial" w:eastAsia="Times New Roman" w:hAnsi="Arial" w:cs="Arial"/>
          <w:color w:val="000000"/>
          <w:sz w:val="21"/>
          <w:szCs w:val="21"/>
        </w:rPr>
      </w:pPr>
      <w:proofErr w:type="spellStart"/>
      <w:r w:rsidRPr="00555D63">
        <w:rPr>
          <w:rFonts w:ascii="Arial" w:eastAsia="Times New Roman" w:hAnsi="Arial" w:cs="Arial"/>
          <w:color w:val="000000"/>
          <w:sz w:val="21"/>
          <w:szCs w:val="21"/>
        </w:rPr>
        <w:t>Sentier</w:t>
      </w:r>
      <w:proofErr w:type="spellEnd"/>
      <w:r w:rsidRPr="00555D63">
        <w:rPr>
          <w:rFonts w:ascii="Arial" w:eastAsia="Times New Roman" w:hAnsi="Arial" w:cs="Arial"/>
          <w:color w:val="000000"/>
          <w:sz w:val="21"/>
          <w:szCs w:val="21"/>
        </w:rPr>
        <w:t xml:space="preserve"> Research uses the more familiar </w:t>
      </w:r>
      <w:hyperlink r:id="rId7" w:tgtFrame="_blank" w:history="1">
        <w:r w:rsidRPr="00555D63">
          <w:rPr>
            <w:rFonts w:ascii="Arial" w:eastAsia="Times New Roman" w:hAnsi="Arial" w:cs="Arial"/>
            <w:color w:val="0000FF"/>
            <w:sz w:val="21"/>
            <w:szCs w:val="21"/>
            <w:u w:val="single"/>
          </w:rPr>
          <w:t>Consumer Price Index</w:t>
        </w:r>
      </w:hyperlink>
      <w:r w:rsidRPr="00555D63">
        <w:rPr>
          <w:rFonts w:ascii="Arial" w:eastAsia="Times New Roman" w:hAnsi="Arial" w:cs="Arial"/>
          <w:color w:val="000000"/>
          <w:sz w:val="21"/>
          <w:szCs w:val="21"/>
        </w:rPr>
        <w:t> (CPI) for the inflation adjustment. The Census Bureau uses the little-known </w:t>
      </w:r>
      <w:hyperlink r:id="rId8" w:tgtFrame="_blank" w:history="1">
        <w:r w:rsidRPr="00555D63">
          <w:rPr>
            <w:rFonts w:ascii="Arial" w:eastAsia="Times New Roman" w:hAnsi="Arial" w:cs="Arial"/>
            <w:color w:val="0000FF"/>
            <w:sz w:val="21"/>
            <w:szCs w:val="21"/>
            <w:u w:val="single"/>
          </w:rPr>
          <w:t>CPI-U-RS</w:t>
        </w:r>
      </w:hyperlink>
      <w:r w:rsidRPr="00555D63">
        <w:rPr>
          <w:rFonts w:ascii="Arial" w:eastAsia="Times New Roman" w:hAnsi="Arial" w:cs="Arial"/>
          <w:color w:val="000000"/>
          <w:sz w:val="21"/>
          <w:szCs w:val="21"/>
        </w:rPr>
        <w:t> (RS stands for "research series") as the deflator for their annual data. For more on that topic, see </w:t>
      </w:r>
      <w:hyperlink r:id="rId9" w:tgtFrame="_blank" w:history="1">
        <w:r w:rsidRPr="00555D63">
          <w:rPr>
            <w:rFonts w:ascii="Arial" w:eastAsia="Times New Roman" w:hAnsi="Arial" w:cs="Arial"/>
            <w:color w:val="0000FF"/>
            <w:sz w:val="21"/>
            <w:szCs w:val="21"/>
            <w:u w:val="single"/>
          </w:rPr>
          <w:t>this commentary</w:t>
        </w:r>
      </w:hyperlink>
      <w:r w:rsidRPr="00555D63">
        <w:rPr>
          <w:rFonts w:ascii="Arial" w:eastAsia="Times New Roman" w:hAnsi="Arial" w:cs="Arial"/>
          <w:color w:val="000000"/>
          <w:sz w:val="21"/>
          <w:szCs w:val="21"/>
        </w:rPr>
        <w:t>.</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The first chart below is an overlay of the nominal values and real monthly values chained in October 2013 dollars. The red line illustrates the history of nominal median household, and the blue line shows the real (inflation-adjusted value). I've added callouts to show specific nominal and real monthly values for January 2000 start date and the peak and post-peak troughs.</w:t>
      </w:r>
    </w:p>
    <w:p w:rsidR="00555D63" w:rsidRPr="00555D63" w:rsidRDefault="00555D63" w:rsidP="00555D63">
      <w:pPr>
        <w:spacing w:after="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w:t>
      </w:r>
    </w:p>
    <w:p w:rsidR="00555D63" w:rsidRPr="00555D63" w:rsidRDefault="00555D63" w:rsidP="00555D63">
      <w:pPr>
        <w:spacing w:after="0" w:line="240" w:lineRule="auto"/>
        <w:jc w:val="center"/>
        <w:rPr>
          <w:rFonts w:ascii="Arial" w:eastAsia="Times New Roman" w:hAnsi="Arial" w:cs="Arial"/>
          <w:color w:val="000000"/>
          <w:sz w:val="21"/>
          <w:szCs w:val="21"/>
        </w:rPr>
      </w:pPr>
      <w:r w:rsidRPr="00555D63">
        <w:rPr>
          <w:rFonts w:ascii="Arial" w:eastAsia="Times New Roman" w:hAnsi="Arial" w:cs="Arial"/>
          <w:noProof/>
          <w:color w:val="0000FF"/>
          <w:sz w:val="21"/>
          <w:szCs w:val="21"/>
        </w:rPr>
        <w:lastRenderedPageBreak/>
        <w:drawing>
          <wp:inline distT="0" distB="0" distL="0" distR="0" wp14:anchorId="4097063A" wp14:editId="4BB2D2AF">
            <wp:extent cx="6096000" cy="4438650"/>
            <wp:effectExtent l="0" t="0" r="0" b="0"/>
            <wp:docPr id="1" name="Picture 1" descr="Click to View">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lick to View">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438650"/>
                    </a:xfrm>
                    <a:prstGeom prst="rect">
                      <a:avLst/>
                    </a:prstGeom>
                    <a:noFill/>
                    <a:ln>
                      <a:noFill/>
                    </a:ln>
                  </pic:spPr>
                </pic:pic>
              </a:graphicData>
            </a:graphic>
          </wp:inline>
        </w:drawing>
      </w:r>
      <w:r w:rsidRPr="00555D63">
        <w:rPr>
          <w:rFonts w:ascii="Arial" w:eastAsia="Times New Roman" w:hAnsi="Arial" w:cs="Arial"/>
          <w:color w:val="000000"/>
          <w:sz w:val="21"/>
          <w:szCs w:val="21"/>
        </w:rPr>
        <w:br/>
      </w:r>
      <w:hyperlink r:id="rId12" w:tgtFrame="_blank" w:history="1">
        <w:r w:rsidRPr="00555D63">
          <w:rPr>
            <w:rFonts w:ascii="Arial" w:eastAsia="Times New Roman" w:hAnsi="Arial" w:cs="Arial"/>
            <w:color w:val="0000FF"/>
            <w:sz w:val="21"/>
            <w:szCs w:val="21"/>
            <w:u w:val="single"/>
          </w:rPr>
          <w:t>Click for a larger image</w:t>
        </w:r>
      </w:hyperlink>
    </w:p>
    <w:p w:rsidR="00555D63" w:rsidRPr="00555D63" w:rsidRDefault="00555D63" w:rsidP="00555D63">
      <w:pPr>
        <w:spacing w:after="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xml:space="preserve">In the latest press release, </w:t>
      </w:r>
      <w:proofErr w:type="spellStart"/>
      <w:r w:rsidRPr="00555D63">
        <w:rPr>
          <w:rFonts w:ascii="Arial" w:eastAsia="Times New Roman" w:hAnsi="Arial" w:cs="Arial"/>
          <w:color w:val="000000"/>
          <w:sz w:val="21"/>
          <w:szCs w:val="21"/>
        </w:rPr>
        <w:t>Sentier</w:t>
      </w:r>
      <w:proofErr w:type="spellEnd"/>
      <w:r w:rsidRPr="00555D63">
        <w:rPr>
          <w:rFonts w:ascii="Arial" w:eastAsia="Times New Roman" w:hAnsi="Arial" w:cs="Arial"/>
          <w:color w:val="000000"/>
          <w:sz w:val="21"/>
          <w:szCs w:val="21"/>
        </w:rPr>
        <w:t xml:space="preserve"> Research spokesman Gordon Green summarizes the recent data.</w:t>
      </w:r>
    </w:p>
    <w:tbl>
      <w:tblPr>
        <w:tblW w:w="4750" w:type="pct"/>
        <w:jc w:val="center"/>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8892"/>
      </w:tblGrid>
      <w:tr w:rsidR="00555D63" w:rsidRPr="00555D63" w:rsidTr="00555D63">
        <w:trPr>
          <w:tblCellSpacing w:w="15" w:type="dxa"/>
          <w:jc w:val="center"/>
        </w:trPr>
        <w:tc>
          <w:tcPr>
            <w:tcW w:w="0" w:type="auto"/>
            <w:shd w:val="clear" w:color="auto" w:fill="E6E6E6"/>
            <w:vAlign w:val="center"/>
            <w:hideMark/>
          </w:tcPr>
          <w:p w:rsidR="00555D63" w:rsidRPr="00555D63" w:rsidRDefault="00555D63" w:rsidP="00555D63">
            <w:pPr>
              <w:spacing w:after="0" w:line="240" w:lineRule="auto"/>
              <w:rPr>
                <w:rFonts w:ascii="Times New Roman" w:eastAsia="Times New Roman" w:hAnsi="Times New Roman" w:cs="Times New Roman"/>
                <w:sz w:val="24"/>
                <w:szCs w:val="24"/>
              </w:rPr>
            </w:pPr>
            <w:r w:rsidRPr="00555D63">
              <w:rPr>
                <w:rFonts w:ascii="Times New Roman" w:eastAsia="Times New Roman" w:hAnsi="Times New Roman" w:cs="Times New Roman"/>
                <w:sz w:val="24"/>
                <w:szCs w:val="24"/>
              </w:rPr>
              <w:t>Since August 2011, the low-point in our household income series, we have seen some improvement in the level of real median annual household income. While the trend in household income since August 2011 has been uneven, on balance we have seen an upward movement of 2.7 percent since August 2011. We still have a significant amount of ground to make up to get back to where we were before, but at least we have shown some improvement since the low point.</w:t>
            </w:r>
          </w:p>
        </w:tc>
      </w:tr>
    </w:tbl>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xml:space="preserve">As for the data itself, </w:t>
      </w:r>
      <w:proofErr w:type="spellStart"/>
      <w:r w:rsidRPr="00555D63">
        <w:rPr>
          <w:rFonts w:ascii="Arial" w:eastAsia="Times New Roman" w:hAnsi="Arial" w:cs="Arial"/>
          <w:color w:val="000000"/>
          <w:sz w:val="21"/>
          <w:szCs w:val="21"/>
        </w:rPr>
        <w:t>Sentier</w:t>
      </w:r>
      <w:proofErr w:type="spellEnd"/>
      <w:r w:rsidRPr="00555D63">
        <w:rPr>
          <w:rFonts w:ascii="Arial" w:eastAsia="Times New Roman" w:hAnsi="Arial" w:cs="Arial"/>
          <w:color w:val="000000"/>
          <w:sz w:val="21"/>
          <w:szCs w:val="21"/>
        </w:rPr>
        <w:t xml:space="preserve"> makes it available in Excel format for a small fee (</w:t>
      </w:r>
      <w:hyperlink r:id="rId13" w:tgtFrame="_blank" w:history="1">
        <w:r w:rsidRPr="00555D63">
          <w:rPr>
            <w:rFonts w:ascii="Arial" w:eastAsia="Times New Roman" w:hAnsi="Arial" w:cs="Arial"/>
            <w:color w:val="0000FF"/>
            <w:sz w:val="21"/>
            <w:szCs w:val="21"/>
            <w:u w:val="single"/>
          </w:rPr>
          <w:t>here</w:t>
        </w:r>
      </w:hyperlink>
      <w:r w:rsidRPr="00555D63">
        <w:rPr>
          <w:rFonts w:ascii="Arial" w:eastAsia="Times New Roman" w:hAnsi="Arial" w:cs="Arial"/>
          <w:color w:val="000000"/>
          <w:sz w:val="21"/>
          <w:szCs w:val="21"/>
        </w:rPr>
        <w:t>). I have used the latest data to create a pair of charts illustrating the nominal and real income trends during the 21st century.</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The blue line in the chart above paints the grim "real" picture. Since we've chained in October 2013 dollars and the overall timeframe has been inflationary, the earlier monthly values are adjusted upward accordingly. In addition to the obvious difference in earlier real values, we can also see that real incomes peaked before the nominal (January of 2008, one month after the recession began, versus July 2008). Also the real post-recession decline bottomed later than the nominal (August 2011 versus September 2010).</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lastRenderedPageBreak/>
        <w:t>The next chart is my preferred way to show the nominal and real household income -- the percent change over time. Essentially I have taken the monthly series for both the nominal and real household incomes and divided them by their respective values at the beginning of 2000. The advantage to this approach is that it clearly quantifies the changes in both series and avoids a common distraction of using dollar amounts ("How does my household stack up?").</w:t>
      </w:r>
    </w:p>
    <w:p w:rsidR="00555D63" w:rsidRPr="00555D63" w:rsidRDefault="00555D63" w:rsidP="00555D63">
      <w:pPr>
        <w:spacing w:after="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w:t>
      </w:r>
    </w:p>
    <w:p w:rsidR="00555D63" w:rsidRPr="00555D63" w:rsidRDefault="00555D63" w:rsidP="00555D63">
      <w:pPr>
        <w:spacing w:after="0" w:line="240" w:lineRule="auto"/>
        <w:jc w:val="center"/>
        <w:rPr>
          <w:rFonts w:ascii="Arial" w:eastAsia="Times New Roman" w:hAnsi="Arial" w:cs="Arial"/>
          <w:color w:val="000000"/>
          <w:sz w:val="21"/>
          <w:szCs w:val="21"/>
        </w:rPr>
      </w:pPr>
      <w:r w:rsidRPr="00555D63">
        <w:rPr>
          <w:rFonts w:ascii="Arial" w:eastAsia="Times New Roman" w:hAnsi="Arial" w:cs="Arial"/>
          <w:noProof/>
          <w:color w:val="0000FF"/>
          <w:sz w:val="21"/>
          <w:szCs w:val="21"/>
        </w:rPr>
        <w:drawing>
          <wp:inline distT="0" distB="0" distL="0" distR="0" wp14:anchorId="7CD6B96E" wp14:editId="1D75AE84">
            <wp:extent cx="6096000" cy="4438650"/>
            <wp:effectExtent l="0" t="0" r="0" b="0"/>
            <wp:docPr id="2" name="Picture 2" descr="Click to View">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lick to View">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438650"/>
                    </a:xfrm>
                    <a:prstGeom prst="rect">
                      <a:avLst/>
                    </a:prstGeom>
                    <a:noFill/>
                    <a:ln>
                      <a:noFill/>
                    </a:ln>
                  </pic:spPr>
                </pic:pic>
              </a:graphicData>
            </a:graphic>
          </wp:inline>
        </w:drawing>
      </w:r>
      <w:r w:rsidRPr="00555D63">
        <w:rPr>
          <w:rFonts w:ascii="Arial" w:eastAsia="Times New Roman" w:hAnsi="Arial" w:cs="Arial"/>
          <w:color w:val="000000"/>
          <w:sz w:val="21"/>
          <w:szCs w:val="21"/>
        </w:rPr>
        <w:br/>
      </w:r>
      <w:hyperlink r:id="rId16" w:tgtFrame="_blank" w:history="1">
        <w:r w:rsidRPr="00555D63">
          <w:rPr>
            <w:rFonts w:ascii="Arial" w:eastAsia="Times New Roman" w:hAnsi="Arial" w:cs="Arial"/>
            <w:color w:val="0000FF"/>
            <w:sz w:val="21"/>
            <w:szCs w:val="21"/>
            <w:u w:val="single"/>
          </w:rPr>
          <w:t>Click for a larger image</w:t>
        </w:r>
      </w:hyperlink>
    </w:p>
    <w:p w:rsidR="00555D63" w:rsidRPr="00555D63" w:rsidRDefault="00555D63" w:rsidP="00555D63">
      <w:pPr>
        <w:spacing w:after="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The stunning reality illustrated here is that the real median household income series spent most of the first nine years of the 21st century struggling slightly below its purchasing power at the turn of the century. Real incomes (the blue line) hit an interim peak at a fractional 0.7% in early 2008, far below the nominal illusionary peak (as in </w:t>
      </w:r>
      <w:hyperlink r:id="rId17" w:tgtFrame="_blank" w:history="1">
        <w:r w:rsidRPr="00555D63">
          <w:rPr>
            <w:rFonts w:ascii="Arial" w:eastAsia="Times New Roman" w:hAnsi="Arial" w:cs="Arial"/>
            <w:color w:val="0000FF"/>
            <w:sz w:val="21"/>
            <w:szCs w:val="21"/>
            <w:u w:val="single"/>
          </w:rPr>
          <w:t>money illusion</w:t>
        </w:r>
      </w:hyperlink>
      <w:r w:rsidRPr="00555D63">
        <w:rPr>
          <w:rFonts w:ascii="Arial" w:eastAsia="Times New Roman" w:hAnsi="Arial" w:cs="Arial"/>
          <w:color w:val="000000"/>
          <w:sz w:val="21"/>
          <w:szCs w:val="21"/>
        </w:rPr>
        <w:t>) of 27.2% six months later and now at 28.2%, just fractionally off its new high of 28.7% set in September. In contrast, the real recovery from the trough has been depressingly slight.</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noProof/>
          <w:color w:val="000000"/>
          <w:sz w:val="21"/>
          <w:szCs w:val="21"/>
        </w:rPr>
        <w:drawing>
          <wp:anchor distT="47625" distB="47625" distL="95250" distR="95250" simplePos="0" relativeHeight="251659264" behindDoc="0" locked="0" layoutInCell="1" allowOverlap="0" wp14:anchorId="75EDD85B" wp14:editId="305E5CE1">
            <wp:simplePos x="0" y="0"/>
            <wp:positionH relativeFrom="column">
              <wp:align>right</wp:align>
            </wp:positionH>
            <wp:positionV relativeFrom="line">
              <wp:posOffset>0</wp:posOffset>
            </wp:positionV>
            <wp:extent cx="304800" cy="304800"/>
            <wp:effectExtent l="0" t="0" r="0" b="0"/>
            <wp:wrapSquare wrapText="bothSides"/>
            <wp:docPr id="3" name="Picture 3" descr="http://advisorperspectives.com/dshort/charts/census/household-income-since-2008-and-M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visorperspectives.com/dshort/charts/census/household-income-since-2008-and-MoM.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D63">
        <w:rPr>
          <w:rFonts w:ascii="Arial" w:eastAsia="Times New Roman" w:hAnsi="Arial" w:cs="Arial"/>
          <w:color w:val="000000"/>
          <w:sz w:val="21"/>
          <w:szCs w:val="21"/>
        </w:rPr>
        <w:t xml:space="preserve">Let's take a closer look at the monthly data since the end of the Great Recession. The adjacent chart highlights the real monthly median values since 2008. The right axis shows the same scale as the chart above -- the percent change from the real household income value at the start of the 21st century. The October 2013 real median annual income is 7.2% below our turn-of-the-century starting point and 7.9% below is 21st century high in January 2008. But the 2013 household experience is worse than these numbers suggest. The </w:t>
      </w:r>
      <w:proofErr w:type="spellStart"/>
      <w:r w:rsidRPr="00555D63">
        <w:rPr>
          <w:rFonts w:ascii="Arial" w:eastAsia="Times New Roman" w:hAnsi="Arial" w:cs="Arial"/>
          <w:color w:val="000000"/>
          <w:sz w:val="21"/>
          <w:szCs w:val="21"/>
        </w:rPr>
        <w:t>Sentier</w:t>
      </w:r>
      <w:proofErr w:type="spellEnd"/>
      <w:r w:rsidRPr="00555D63">
        <w:rPr>
          <w:rFonts w:ascii="Arial" w:eastAsia="Times New Roman" w:hAnsi="Arial" w:cs="Arial"/>
          <w:color w:val="000000"/>
          <w:sz w:val="21"/>
          <w:szCs w:val="21"/>
        </w:rPr>
        <w:t xml:space="preserve"> calculations are based on pre-tax data. The expiration of the 2% FICA tax has put an additional hit on disposable household incomes.</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lastRenderedPageBreak/>
        <w:t>Is there seasonality to the monthly data? The column chart shows the monthly averages of nominal month-over-month change since 2000. December is the top performer with January a close second. March has a negative average since the turn of the century. However, the month-over-month volatility of the Consumer Price Index reduces the reliability of the nominal pattern as a clue for what to expect in the in the months ahead.</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b/>
          <w:bCs/>
          <w:color w:val="000000"/>
          <w:sz w:val="21"/>
          <w:szCs w:val="21"/>
        </w:rPr>
        <w:t>In Summary...</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As the excellent data from </w:t>
      </w:r>
      <w:proofErr w:type="spellStart"/>
      <w:r w:rsidRPr="00555D63">
        <w:rPr>
          <w:rFonts w:ascii="Arial" w:eastAsia="Times New Roman" w:hAnsi="Arial" w:cs="Arial"/>
          <w:color w:val="000000"/>
          <w:sz w:val="21"/>
          <w:szCs w:val="21"/>
        </w:rPr>
        <w:fldChar w:fldCharType="begin"/>
      </w:r>
      <w:r w:rsidRPr="00555D63">
        <w:rPr>
          <w:rFonts w:ascii="Arial" w:eastAsia="Times New Roman" w:hAnsi="Arial" w:cs="Arial"/>
          <w:color w:val="000000"/>
          <w:sz w:val="21"/>
          <w:szCs w:val="21"/>
        </w:rPr>
        <w:instrText xml:space="preserve"> HYPERLINK "http://www.sentierresearch.com/" \t "_blank" </w:instrText>
      </w:r>
      <w:r w:rsidRPr="00555D63">
        <w:rPr>
          <w:rFonts w:ascii="Arial" w:eastAsia="Times New Roman" w:hAnsi="Arial" w:cs="Arial"/>
          <w:color w:val="000000"/>
          <w:sz w:val="21"/>
          <w:szCs w:val="21"/>
        </w:rPr>
        <w:fldChar w:fldCharType="separate"/>
      </w:r>
      <w:r w:rsidRPr="00555D63">
        <w:rPr>
          <w:rFonts w:ascii="Arial" w:eastAsia="Times New Roman" w:hAnsi="Arial" w:cs="Arial"/>
          <w:color w:val="0000FF"/>
          <w:sz w:val="21"/>
          <w:szCs w:val="21"/>
          <w:u w:val="single"/>
        </w:rPr>
        <w:t>Sentier</w:t>
      </w:r>
      <w:proofErr w:type="spellEnd"/>
      <w:r w:rsidRPr="00555D63">
        <w:rPr>
          <w:rFonts w:ascii="Arial" w:eastAsia="Times New Roman" w:hAnsi="Arial" w:cs="Arial"/>
          <w:color w:val="0000FF"/>
          <w:sz w:val="21"/>
          <w:szCs w:val="21"/>
          <w:u w:val="single"/>
        </w:rPr>
        <w:t xml:space="preserve"> Research</w:t>
      </w:r>
      <w:r w:rsidRPr="00555D63">
        <w:rPr>
          <w:rFonts w:ascii="Arial" w:eastAsia="Times New Roman" w:hAnsi="Arial" w:cs="Arial"/>
          <w:color w:val="000000"/>
          <w:sz w:val="21"/>
          <w:szCs w:val="21"/>
        </w:rPr>
        <w:fldChar w:fldCharType="end"/>
      </w:r>
      <w:r w:rsidRPr="00555D63">
        <w:rPr>
          <w:rFonts w:ascii="Arial" w:eastAsia="Times New Roman" w:hAnsi="Arial" w:cs="Arial"/>
          <w:color w:val="000000"/>
          <w:sz w:val="21"/>
          <w:szCs w:val="21"/>
        </w:rPr>
        <w:t> makes clear, the mainstream U.S. household was struggling before the Great Recession. At this point, real household incomes are in worse shape than they were four years ago when the recession ended.</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I'll close this update with another look at real growth, highlighting the actual monthly data points and adding a three-month moving average. The MA trend has been slowly zigzagging higher since the trough in 2011, and the latest month has risen above a virtual ceiling during the past two years.</w:t>
      </w:r>
    </w:p>
    <w:p w:rsidR="00555D63" w:rsidRPr="00555D63" w:rsidRDefault="00555D63" w:rsidP="00555D63">
      <w:pPr>
        <w:spacing w:after="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w:t>
      </w:r>
    </w:p>
    <w:p w:rsidR="00555D63" w:rsidRPr="00555D63" w:rsidRDefault="00555D63" w:rsidP="00555D63">
      <w:pPr>
        <w:spacing w:after="0" w:line="240" w:lineRule="auto"/>
        <w:jc w:val="center"/>
        <w:rPr>
          <w:rFonts w:ascii="Arial" w:eastAsia="Times New Roman" w:hAnsi="Arial" w:cs="Arial"/>
          <w:color w:val="000000"/>
          <w:sz w:val="21"/>
          <w:szCs w:val="21"/>
        </w:rPr>
      </w:pPr>
      <w:r w:rsidRPr="00555D63">
        <w:rPr>
          <w:rFonts w:ascii="Arial" w:eastAsia="Times New Roman" w:hAnsi="Arial" w:cs="Arial"/>
          <w:noProof/>
          <w:color w:val="0000FF"/>
          <w:sz w:val="21"/>
          <w:szCs w:val="21"/>
        </w:rPr>
        <w:drawing>
          <wp:inline distT="0" distB="0" distL="0" distR="0" wp14:anchorId="5494B369" wp14:editId="181AE856">
            <wp:extent cx="6096000" cy="4438650"/>
            <wp:effectExtent l="0" t="0" r="0" b="0"/>
            <wp:docPr id="4" name="Picture 4" descr="Click to View">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lick to View">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4438650"/>
                    </a:xfrm>
                    <a:prstGeom prst="rect">
                      <a:avLst/>
                    </a:prstGeom>
                    <a:noFill/>
                    <a:ln>
                      <a:noFill/>
                    </a:ln>
                  </pic:spPr>
                </pic:pic>
              </a:graphicData>
            </a:graphic>
          </wp:inline>
        </w:drawing>
      </w:r>
      <w:r w:rsidRPr="00555D63">
        <w:rPr>
          <w:rFonts w:ascii="Arial" w:eastAsia="Times New Roman" w:hAnsi="Arial" w:cs="Arial"/>
          <w:color w:val="000000"/>
          <w:sz w:val="21"/>
          <w:szCs w:val="21"/>
        </w:rPr>
        <w:br/>
      </w:r>
      <w:hyperlink r:id="rId21" w:tgtFrame="_blank" w:history="1">
        <w:r w:rsidRPr="00555D63">
          <w:rPr>
            <w:rFonts w:ascii="Arial" w:eastAsia="Times New Roman" w:hAnsi="Arial" w:cs="Arial"/>
            <w:color w:val="0000FF"/>
            <w:sz w:val="21"/>
            <w:szCs w:val="21"/>
            <w:u w:val="single"/>
          </w:rPr>
          <w:t>Click for a larger image</w:t>
        </w:r>
      </w:hyperlink>
    </w:p>
    <w:p w:rsidR="00555D63" w:rsidRPr="00555D63" w:rsidRDefault="00555D63" w:rsidP="00555D63">
      <w:pPr>
        <w:spacing w:after="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Check back next month for the latest update.</w:t>
      </w:r>
    </w:p>
    <w:p w:rsidR="00555D63" w:rsidRPr="00555D63" w:rsidRDefault="00555D63" w:rsidP="00555D63">
      <w:pPr>
        <w:spacing w:after="0" w:line="240" w:lineRule="auto"/>
        <w:rPr>
          <w:rFonts w:ascii="Times New Roman" w:eastAsia="Times New Roman" w:hAnsi="Times New Roman" w:cs="Times New Roman"/>
          <w:sz w:val="24"/>
          <w:szCs w:val="24"/>
        </w:rPr>
      </w:pPr>
      <w:r w:rsidRPr="00555D63">
        <w:rPr>
          <w:rFonts w:ascii="Times New Roman" w:eastAsia="Times New Roman" w:hAnsi="Times New Roman" w:cs="Times New Roman"/>
          <w:sz w:val="24"/>
          <w:szCs w:val="24"/>
        </w:rPr>
        <w:pict>
          <v:rect id="_x0000_i1026" style="width:142.5pt;height:.75pt" o:hrpct="0" o:hrstd="t" o:hrnoshade="t" o:hr="t" fillcolor="black" stroked="f"/>
        </w:pict>
      </w:r>
    </w:p>
    <w:p w:rsidR="00555D63" w:rsidRPr="00555D63" w:rsidRDefault="00555D63" w:rsidP="00555D63">
      <w:pPr>
        <w:spacing w:after="0" w:line="240" w:lineRule="auto"/>
        <w:rPr>
          <w:rFonts w:ascii="Times New Roman" w:eastAsia="Times New Roman" w:hAnsi="Times New Roman" w:cs="Times New Roman"/>
          <w:sz w:val="24"/>
          <w:szCs w:val="24"/>
        </w:rPr>
      </w:pPr>
      <w:r w:rsidRPr="00555D63">
        <w:rPr>
          <w:rFonts w:ascii="Arial" w:eastAsia="Times New Roman" w:hAnsi="Arial" w:cs="Arial"/>
          <w:b/>
          <w:bCs/>
          <w:i/>
          <w:iCs/>
          <w:color w:val="000000"/>
          <w:sz w:val="21"/>
          <w:szCs w:val="21"/>
        </w:rPr>
        <w:t>Additional Reading</w:t>
      </w:r>
      <w:r w:rsidRPr="00555D63">
        <w:rPr>
          <w:rFonts w:ascii="Arial" w:eastAsia="Times New Roman" w:hAnsi="Arial" w:cs="Arial"/>
          <w:i/>
          <w:iCs/>
          <w:color w:val="000000"/>
          <w:sz w:val="21"/>
          <w:szCs w:val="21"/>
        </w:rPr>
        <w:t>:</w:t>
      </w:r>
    </w:p>
    <w:p w:rsidR="00555D63" w:rsidRPr="00555D63" w:rsidRDefault="00555D63" w:rsidP="00555D63">
      <w:pPr>
        <w:numPr>
          <w:ilvl w:val="0"/>
          <w:numId w:val="2"/>
        </w:numPr>
        <w:spacing w:after="0" w:line="240" w:lineRule="auto"/>
        <w:rPr>
          <w:rFonts w:ascii="Arial" w:eastAsia="Times New Roman" w:hAnsi="Arial" w:cs="Arial"/>
          <w:color w:val="000000"/>
          <w:sz w:val="21"/>
          <w:szCs w:val="21"/>
        </w:rPr>
      </w:pPr>
      <w:hyperlink r:id="rId22" w:tgtFrame="_blank" w:history="1">
        <w:r w:rsidRPr="00555D63">
          <w:rPr>
            <w:rFonts w:ascii="Arial" w:eastAsia="Times New Roman" w:hAnsi="Arial" w:cs="Arial"/>
            <w:b/>
            <w:bCs/>
            <w:color w:val="2244CC"/>
            <w:sz w:val="21"/>
            <w:szCs w:val="21"/>
          </w:rPr>
          <w:t>Median Household Incomes: The Real Truth about the U.S. Economic Recovery, Four Years Later</w:t>
        </w:r>
      </w:hyperlink>
    </w:p>
    <w:p w:rsidR="00555D63" w:rsidRPr="00555D63" w:rsidRDefault="00555D63" w:rsidP="00555D63">
      <w:pPr>
        <w:numPr>
          <w:ilvl w:val="0"/>
          <w:numId w:val="2"/>
        </w:numPr>
        <w:spacing w:after="0" w:line="240" w:lineRule="auto"/>
        <w:rPr>
          <w:rFonts w:ascii="Arial" w:eastAsia="Times New Roman" w:hAnsi="Arial" w:cs="Arial"/>
          <w:color w:val="000000"/>
          <w:sz w:val="21"/>
          <w:szCs w:val="21"/>
        </w:rPr>
      </w:pPr>
      <w:hyperlink r:id="rId23" w:tgtFrame="_blank" w:history="1">
        <w:r w:rsidRPr="00555D63">
          <w:rPr>
            <w:rFonts w:ascii="Arial" w:eastAsia="Times New Roman" w:hAnsi="Arial" w:cs="Arial"/>
            <w:b/>
            <w:bCs/>
            <w:color w:val="2244CC"/>
            <w:sz w:val="21"/>
            <w:szCs w:val="21"/>
          </w:rPr>
          <w:t>Median Household Incomes after the Great Recession: Household Types and Educational Attainment</w:t>
        </w:r>
      </w:hyperlink>
    </w:p>
    <w:p w:rsidR="00555D63" w:rsidRPr="00555D63" w:rsidRDefault="00555D63" w:rsidP="00555D63">
      <w:pPr>
        <w:numPr>
          <w:ilvl w:val="0"/>
          <w:numId w:val="2"/>
        </w:numPr>
        <w:spacing w:after="0" w:line="240" w:lineRule="auto"/>
        <w:rPr>
          <w:rFonts w:ascii="Arial" w:eastAsia="Times New Roman" w:hAnsi="Arial" w:cs="Arial"/>
          <w:color w:val="000000"/>
          <w:sz w:val="21"/>
          <w:szCs w:val="21"/>
        </w:rPr>
      </w:pPr>
      <w:hyperlink r:id="rId24" w:tgtFrame="_blank" w:history="1">
        <w:r w:rsidRPr="00555D63">
          <w:rPr>
            <w:rFonts w:ascii="Arial" w:eastAsia="Times New Roman" w:hAnsi="Arial" w:cs="Arial"/>
            <w:b/>
            <w:bCs/>
            <w:color w:val="2244CC"/>
            <w:sz w:val="21"/>
            <w:szCs w:val="21"/>
          </w:rPr>
          <w:t>U.S. Household Incomes: A 45-Year Perspective</w:t>
        </w:r>
      </w:hyperlink>
    </w:p>
    <w:p w:rsidR="00555D63" w:rsidRPr="00555D63" w:rsidRDefault="00555D63" w:rsidP="00555D63">
      <w:pPr>
        <w:numPr>
          <w:ilvl w:val="0"/>
          <w:numId w:val="2"/>
        </w:numPr>
        <w:spacing w:after="0" w:line="240" w:lineRule="auto"/>
        <w:rPr>
          <w:rFonts w:ascii="Arial" w:eastAsia="Times New Roman" w:hAnsi="Arial" w:cs="Arial"/>
          <w:color w:val="000000"/>
          <w:sz w:val="21"/>
          <w:szCs w:val="21"/>
        </w:rPr>
      </w:pPr>
      <w:hyperlink r:id="rId25" w:tgtFrame="_blank" w:history="1">
        <w:r w:rsidRPr="00555D63">
          <w:rPr>
            <w:rFonts w:ascii="Arial" w:eastAsia="Times New Roman" w:hAnsi="Arial" w:cs="Arial"/>
            <w:b/>
            <w:bCs/>
            <w:color w:val="2244CC"/>
            <w:sz w:val="21"/>
            <w:szCs w:val="21"/>
          </w:rPr>
          <w:t>U.S. Median Household Incomes by Age Bracket</w:t>
        </w:r>
      </w:hyperlink>
    </w:p>
    <w:p w:rsidR="00555D63" w:rsidRPr="00555D63" w:rsidRDefault="00555D63" w:rsidP="00555D63">
      <w:pPr>
        <w:numPr>
          <w:ilvl w:val="0"/>
          <w:numId w:val="2"/>
        </w:numPr>
        <w:spacing w:after="100" w:line="240" w:lineRule="auto"/>
        <w:rPr>
          <w:rFonts w:ascii="Arial" w:eastAsia="Times New Roman" w:hAnsi="Arial" w:cs="Arial"/>
          <w:color w:val="000000"/>
          <w:sz w:val="21"/>
          <w:szCs w:val="21"/>
        </w:rPr>
      </w:pPr>
      <w:hyperlink r:id="rId26" w:tgtFrame="_blank" w:history="1">
        <w:r w:rsidRPr="00555D63">
          <w:rPr>
            <w:rFonts w:ascii="Arial" w:eastAsia="Times New Roman" w:hAnsi="Arial" w:cs="Arial"/>
            <w:b/>
            <w:bCs/>
            <w:color w:val="2244CC"/>
            <w:sz w:val="21"/>
            <w:szCs w:val="21"/>
          </w:rPr>
          <w:t>Median Household Income Growth: Deflating the American Dream</w:t>
        </w:r>
      </w:hyperlink>
    </w:p>
    <w:p w:rsidR="00555D63" w:rsidRPr="00555D63" w:rsidRDefault="00555D63" w:rsidP="00555D63">
      <w:pPr>
        <w:spacing w:after="0" w:line="240" w:lineRule="auto"/>
        <w:rPr>
          <w:rFonts w:ascii="Times New Roman" w:eastAsia="Times New Roman" w:hAnsi="Times New Roman" w:cs="Times New Roman"/>
          <w:sz w:val="24"/>
          <w:szCs w:val="24"/>
        </w:rPr>
      </w:pPr>
      <w:r w:rsidRPr="00555D63">
        <w:rPr>
          <w:rFonts w:ascii="Arial" w:eastAsia="Times New Roman" w:hAnsi="Arial" w:cs="Arial"/>
          <w:color w:val="000000"/>
          <w:sz w:val="21"/>
          <w:szCs w:val="21"/>
          <w:shd w:val="clear" w:color="auto" w:fill="FFFFFF"/>
        </w:rPr>
        <w:t xml:space="preserve">Also, be sure to download </w:t>
      </w:r>
      <w:proofErr w:type="spellStart"/>
      <w:r w:rsidRPr="00555D63">
        <w:rPr>
          <w:rFonts w:ascii="Arial" w:eastAsia="Times New Roman" w:hAnsi="Arial" w:cs="Arial"/>
          <w:color w:val="000000"/>
          <w:sz w:val="21"/>
          <w:szCs w:val="21"/>
          <w:shd w:val="clear" w:color="auto" w:fill="FFFFFF"/>
        </w:rPr>
        <w:t>Sentier</w:t>
      </w:r>
      <w:proofErr w:type="spellEnd"/>
      <w:r w:rsidRPr="00555D63">
        <w:rPr>
          <w:rFonts w:ascii="Arial" w:eastAsia="Times New Roman" w:hAnsi="Arial" w:cs="Arial"/>
          <w:color w:val="000000"/>
          <w:sz w:val="21"/>
          <w:szCs w:val="21"/>
          <w:shd w:val="clear" w:color="auto" w:fill="FFFFFF"/>
        </w:rPr>
        <w:t xml:space="preserve"> Research's </w:t>
      </w:r>
      <w:hyperlink r:id="rId27" w:history="1">
        <w:r w:rsidRPr="00555D63">
          <w:rPr>
            <w:rFonts w:ascii="Arial" w:eastAsia="Times New Roman" w:hAnsi="Arial" w:cs="Arial"/>
            <w:color w:val="0000FF"/>
            <w:sz w:val="21"/>
            <w:szCs w:val="21"/>
            <w:u w:val="single"/>
          </w:rPr>
          <w:t>latest report</w:t>
        </w:r>
      </w:hyperlink>
      <w:r w:rsidRPr="00555D63">
        <w:rPr>
          <w:rFonts w:ascii="Arial" w:eastAsia="Times New Roman" w:hAnsi="Arial" w:cs="Arial"/>
          <w:color w:val="000000"/>
          <w:sz w:val="21"/>
          <w:szCs w:val="21"/>
          <w:shd w:val="clear" w:color="auto" w:fill="FFFFFF"/>
        </w:rPr>
        <w:t> (PDF), which includes an overlay of real household income and the monthly unemployment rate. Highly recommended!</w:t>
      </w:r>
    </w:p>
    <w:p w:rsidR="00555D63" w:rsidRPr="00555D63" w:rsidRDefault="00555D63" w:rsidP="00555D63">
      <w:pPr>
        <w:spacing w:after="0" w:line="240" w:lineRule="auto"/>
        <w:rPr>
          <w:rFonts w:ascii="Times New Roman" w:eastAsia="Times New Roman" w:hAnsi="Times New Roman" w:cs="Times New Roman"/>
          <w:sz w:val="24"/>
          <w:szCs w:val="24"/>
        </w:rPr>
      </w:pPr>
      <w:r w:rsidRPr="00555D63">
        <w:rPr>
          <w:rFonts w:ascii="Times New Roman" w:eastAsia="Times New Roman" w:hAnsi="Times New Roman" w:cs="Times New Roman"/>
          <w:sz w:val="24"/>
          <w:szCs w:val="24"/>
        </w:rPr>
        <w:pict>
          <v:rect id="_x0000_i1027" style="width:142.5pt;height:.75pt" o:hrpct="0" o:hrstd="t" o:hrnoshade="t" o:hr="t" fillcolor="black" stroked="f"/>
        </w:pict>
      </w:r>
    </w:p>
    <w:p w:rsidR="00555D63" w:rsidRPr="00555D63" w:rsidRDefault="00555D63" w:rsidP="00555D63">
      <w:pPr>
        <w:spacing w:after="0" w:line="240" w:lineRule="auto"/>
        <w:rPr>
          <w:rFonts w:ascii="Arial" w:eastAsia="Times New Roman" w:hAnsi="Arial" w:cs="Arial"/>
          <w:i/>
          <w:iCs/>
          <w:color w:val="000000"/>
          <w:sz w:val="21"/>
          <w:szCs w:val="21"/>
        </w:rPr>
      </w:pPr>
      <w:r w:rsidRPr="00555D63">
        <w:rPr>
          <w:rFonts w:ascii="Arial" w:eastAsia="Times New Roman" w:hAnsi="Arial" w:cs="Arial"/>
          <w:b/>
          <w:bCs/>
          <w:i/>
          <w:iCs/>
          <w:color w:val="000000"/>
          <w:sz w:val="21"/>
          <w:szCs w:val="21"/>
        </w:rPr>
        <w:t>Note</w:t>
      </w:r>
      <w:r w:rsidRPr="00555D63">
        <w:rPr>
          <w:rFonts w:ascii="Arial" w:eastAsia="Times New Roman" w:hAnsi="Arial" w:cs="Arial"/>
          <w:i/>
          <w:iCs/>
          <w:color w:val="000000"/>
          <w:sz w:val="21"/>
          <w:szCs w:val="21"/>
        </w:rPr>
        <w:t xml:space="preserve">: For more information on the Census Bureau's Current Population Survey (CPS), visit the </w:t>
      </w:r>
      <w:proofErr w:type="spellStart"/>
      <w:r w:rsidRPr="00555D63">
        <w:rPr>
          <w:rFonts w:ascii="Arial" w:eastAsia="Times New Roman" w:hAnsi="Arial" w:cs="Arial"/>
          <w:i/>
          <w:iCs/>
          <w:color w:val="000000"/>
          <w:sz w:val="21"/>
          <w:szCs w:val="21"/>
        </w:rPr>
        <w:t>CPS</w:t>
      </w:r>
      <w:hyperlink r:id="rId28" w:tgtFrame="_blank" w:history="1">
        <w:r w:rsidRPr="00555D63">
          <w:rPr>
            <w:rFonts w:ascii="Arial" w:eastAsia="Times New Roman" w:hAnsi="Arial" w:cs="Arial"/>
            <w:i/>
            <w:iCs/>
            <w:color w:val="0000FF"/>
            <w:sz w:val="21"/>
            <w:szCs w:val="21"/>
            <w:u w:val="single"/>
          </w:rPr>
          <w:t>Frequently</w:t>
        </w:r>
        <w:proofErr w:type="spellEnd"/>
        <w:r w:rsidRPr="00555D63">
          <w:rPr>
            <w:rFonts w:ascii="Arial" w:eastAsia="Times New Roman" w:hAnsi="Arial" w:cs="Arial"/>
            <w:i/>
            <w:iCs/>
            <w:color w:val="0000FF"/>
            <w:sz w:val="21"/>
            <w:szCs w:val="21"/>
            <w:u w:val="single"/>
          </w:rPr>
          <w:t xml:space="preserve"> Asked Questions</w:t>
        </w:r>
      </w:hyperlink>
      <w:r w:rsidRPr="00555D63">
        <w:rPr>
          <w:rFonts w:ascii="Arial" w:eastAsia="Times New Roman" w:hAnsi="Arial" w:cs="Arial"/>
          <w:i/>
          <w:iCs/>
          <w:color w:val="000000"/>
          <w:sz w:val="21"/>
          <w:szCs w:val="21"/>
        </w:rPr>
        <w:t> page. A question I've often been asked over the years is what qualifies as income in CPS household survey. The </w:t>
      </w:r>
      <w:hyperlink r:id="rId29" w:tgtFrame="_blank" w:history="1">
        <w:r w:rsidRPr="00555D63">
          <w:rPr>
            <w:rFonts w:ascii="Arial" w:eastAsia="Times New Roman" w:hAnsi="Arial" w:cs="Arial"/>
            <w:i/>
            <w:iCs/>
            <w:color w:val="0000FF"/>
            <w:sz w:val="21"/>
            <w:szCs w:val="21"/>
            <w:u w:val="single"/>
          </w:rPr>
          <w:t>CPS definitions page</w:t>
        </w:r>
      </w:hyperlink>
      <w:r w:rsidRPr="00555D63">
        <w:rPr>
          <w:rFonts w:ascii="Arial" w:eastAsia="Times New Roman" w:hAnsi="Arial" w:cs="Arial"/>
          <w:i/>
          <w:iCs/>
          <w:color w:val="000000"/>
          <w:sz w:val="21"/>
          <w:szCs w:val="21"/>
        </w:rPr>
        <w:t> lists the following:</w:t>
      </w:r>
    </w:p>
    <w:p w:rsidR="00555D63" w:rsidRPr="00555D63" w:rsidRDefault="00555D63" w:rsidP="00555D63">
      <w:pPr>
        <w:numPr>
          <w:ilvl w:val="0"/>
          <w:numId w:val="3"/>
        </w:numPr>
        <w:spacing w:after="0" w:line="240" w:lineRule="auto"/>
        <w:rPr>
          <w:rFonts w:ascii="Times New Roman" w:eastAsia="Times New Roman" w:hAnsi="Times New Roman" w:cs="Times New Roman"/>
          <w:sz w:val="24"/>
          <w:szCs w:val="24"/>
        </w:rPr>
      </w:pPr>
      <w:r w:rsidRPr="00555D63">
        <w:rPr>
          <w:rFonts w:ascii="Arial" w:eastAsia="Times New Roman" w:hAnsi="Arial" w:cs="Arial"/>
          <w:i/>
          <w:iCs/>
          <w:color w:val="000000"/>
          <w:sz w:val="21"/>
          <w:szCs w:val="21"/>
        </w:rPr>
        <w:t>Earnings</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Unemployment compensation</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Workers' compensation</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Social security</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Supplemental security income</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Public assistance</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Veterans' payments</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Survivor benefits</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Disability benefits</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Pension or retirement income</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Interest</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Dividends</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Rents, royalties, and estates and trusts</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Educational assistance</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Alimony</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Child support</w:t>
      </w:r>
    </w:p>
    <w:p w:rsidR="00555D63" w:rsidRPr="00555D63" w:rsidRDefault="00555D63" w:rsidP="00555D63">
      <w:pPr>
        <w:numPr>
          <w:ilvl w:val="0"/>
          <w:numId w:val="3"/>
        </w:numPr>
        <w:spacing w:after="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Financial assistance from outside of the household</w:t>
      </w:r>
    </w:p>
    <w:p w:rsidR="00555D63" w:rsidRPr="00555D63" w:rsidRDefault="00555D63" w:rsidP="00555D63">
      <w:pPr>
        <w:numPr>
          <w:ilvl w:val="0"/>
          <w:numId w:val="3"/>
        </w:numPr>
        <w:spacing w:after="100" w:line="240" w:lineRule="auto"/>
        <w:rPr>
          <w:rFonts w:ascii="Arial" w:eastAsia="Times New Roman" w:hAnsi="Arial" w:cs="Arial"/>
          <w:i/>
          <w:iCs/>
          <w:color w:val="000000"/>
          <w:sz w:val="21"/>
          <w:szCs w:val="21"/>
        </w:rPr>
      </w:pPr>
      <w:r w:rsidRPr="00555D63">
        <w:rPr>
          <w:rFonts w:ascii="Arial" w:eastAsia="Times New Roman" w:hAnsi="Arial" w:cs="Arial"/>
          <w:i/>
          <w:iCs/>
          <w:color w:val="000000"/>
          <w:sz w:val="21"/>
          <w:szCs w:val="21"/>
        </w:rPr>
        <w:t>Other income</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w:t>
      </w:r>
    </w:p>
    <w:p w:rsidR="00555D63" w:rsidRPr="00555D63" w:rsidRDefault="00555D63" w:rsidP="00555D63">
      <w:pPr>
        <w:spacing w:after="240" w:line="240" w:lineRule="auto"/>
        <w:rPr>
          <w:rFonts w:ascii="Arial" w:eastAsia="Times New Roman" w:hAnsi="Arial" w:cs="Arial"/>
          <w:color w:val="000000"/>
          <w:sz w:val="21"/>
          <w:szCs w:val="21"/>
        </w:rPr>
      </w:pPr>
      <w:r w:rsidRPr="00555D63">
        <w:rPr>
          <w:rFonts w:ascii="Arial" w:eastAsia="Times New Roman" w:hAnsi="Arial" w:cs="Arial"/>
          <w:color w:val="000000"/>
          <w:sz w:val="21"/>
          <w:szCs w:val="21"/>
        </w:rPr>
        <w:t> </w:t>
      </w:r>
    </w:p>
    <w:p w:rsidR="00555D63" w:rsidRDefault="00555D63">
      <w:hyperlink r:id="rId30" w:history="1">
        <w:r>
          <w:rPr>
            <w:rStyle w:val="Hyperlink"/>
          </w:rPr>
          <w:t>http://advisorperspectives.com/dshort/updates/Median-Household-Income-Update.php</w:t>
        </w:r>
      </w:hyperlink>
      <w:bookmarkStart w:id="0" w:name="_GoBack"/>
      <w:bookmarkEnd w:id="0"/>
    </w:p>
    <w:sectPr w:rsidR="0055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12EC"/>
    <w:multiLevelType w:val="multilevel"/>
    <w:tmpl w:val="196C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101C8"/>
    <w:multiLevelType w:val="multilevel"/>
    <w:tmpl w:val="F882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352D5F"/>
    <w:multiLevelType w:val="multilevel"/>
    <w:tmpl w:val="ADA2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63"/>
    <w:rsid w:val="00555D63"/>
    <w:rsid w:val="00D445DA"/>
    <w:rsid w:val="00F2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FE8E2-153E-4EDE-B3A0-31658EBD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81540">
      <w:bodyDiv w:val="1"/>
      <w:marLeft w:val="0"/>
      <w:marRight w:val="0"/>
      <w:marTop w:val="0"/>
      <w:marBottom w:val="0"/>
      <w:divBdr>
        <w:top w:val="none" w:sz="0" w:space="0" w:color="auto"/>
        <w:left w:val="none" w:sz="0" w:space="0" w:color="auto"/>
        <w:bottom w:val="none" w:sz="0" w:space="0" w:color="auto"/>
        <w:right w:val="none" w:sz="0" w:space="0" w:color="auto"/>
      </w:divBdr>
    </w:div>
    <w:div w:id="1456215261">
      <w:bodyDiv w:val="1"/>
      <w:marLeft w:val="0"/>
      <w:marRight w:val="0"/>
      <w:marTop w:val="0"/>
      <w:marBottom w:val="0"/>
      <w:divBdr>
        <w:top w:val="none" w:sz="0" w:space="0" w:color="auto"/>
        <w:left w:val="none" w:sz="0" w:space="0" w:color="auto"/>
        <w:bottom w:val="none" w:sz="0" w:space="0" w:color="auto"/>
        <w:right w:val="none" w:sz="0" w:space="0" w:color="auto"/>
      </w:divBdr>
      <w:divsChild>
        <w:div w:id="48169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2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cpi/cpirsdc.htm" TargetMode="External"/><Relationship Id="rId13" Type="http://schemas.openxmlformats.org/officeDocument/2006/relationships/hyperlink" Target="http://www.sentierresearch.com/paypalpurchase.html" TargetMode="External"/><Relationship Id="rId18" Type="http://schemas.openxmlformats.org/officeDocument/2006/relationships/image" Target="media/image3.gif"/><Relationship Id="rId26" Type="http://schemas.openxmlformats.org/officeDocument/2006/relationships/hyperlink" Target="http://advisorperspectives.com/dshort/commentaries/Real-Median-Household-Income-Growth.php" TargetMode="External"/><Relationship Id="rId3" Type="http://schemas.openxmlformats.org/officeDocument/2006/relationships/settings" Target="settings.xml"/><Relationship Id="rId21" Type="http://schemas.openxmlformats.org/officeDocument/2006/relationships/hyperlink" Target="http://advisorperspectives.com/dshort/charts/census/monthly-household-income.html?household-income-real-median-growth-since-2000.gif" TargetMode="External"/><Relationship Id="rId7" Type="http://schemas.openxmlformats.org/officeDocument/2006/relationships/hyperlink" Target="http://advisorperspectives.com/dshort/updates/CPI-Headline-and-Core.php" TargetMode="External"/><Relationship Id="rId12" Type="http://schemas.openxmlformats.org/officeDocument/2006/relationships/hyperlink" Target="http://advisorperspectives.com/dshort/charts/census/monthly-household-income.html?household-income-monthly-median-since-2000.gif" TargetMode="External"/><Relationship Id="rId17" Type="http://schemas.openxmlformats.org/officeDocument/2006/relationships/hyperlink" Target="http://en.wikipedia.org/wiki/Money_illusion" TargetMode="External"/><Relationship Id="rId25" Type="http://schemas.openxmlformats.org/officeDocument/2006/relationships/hyperlink" Target="http://advisorperspectives.com/dshort/updates/Household-Incomes-by-Age-Brackets.php" TargetMode="External"/><Relationship Id="rId2" Type="http://schemas.openxmlformats.org/officeDocument/2006/relationships/styles" Target="styles.xml"/><Relationship Id="rId16" Type="http://schemas.openxmlformats.org/officeDocument/2006/relationships/hyperlink" Target="http://advisorperspectives.com/dshort/charts/census/monthly-household-income.html?household-income-monthly-median-growth-since-2000.gif" TargetMode="External"/><Relationship Id="rId20" Type="http://schemas.openxmlformats.org/officeDocument/2006/relationships/image" Target="media/image4.gif"/><Relationship Id="rId29" Type="http://schemas.openxmlformats.org/officeDocument/2006/relationships/hyperlink" Target="http://www.census.gov/cps/about/cpsdef.html" TargetMode="External"/><Relationship Id="rId1" Type="http://schemas.openxmlformats.org/officeDocument/2006/relationships/numbering" Target="numbering.xml"/><Relationship Id="rId6" Type="http://schemas.openxmlformats.org/officeDocument/2006/relationships/hyperlink" Target="http://www.sentierresearch.com/paypalpurchase.html" TargetMode="External"/><Relationship Id="rId11" Type="http://schemas.openxmlformats.org/officeDocument/2006/relationships/image" Target="media/image1.gif"/><Relationship Id="rId24" Type="http://schemas.openxmlformats.org/officeDocument/2006/relationships/hyperlink" Target="http://advisorperspectives.com/dshort/updates/Household-Income-Distribution.php" TargetMode="External"/><Relationship Id="rId32" Type="http://schemas.openxmlformats.org/officeDocument/2006/relationships/theme" Target="theme/theme1.xml"/><Relationship Id="rId5" Type="http://schemas.openxmlformats.org/officeDocument/2006/relationships/hyperlink" Target="http://www.sentierresearch.com/" TargetMode="External"/><Relationship Id="rId15" Type="http://schemas.openxmlformats.org/officeDocument/2006/relationships/image" Target="media/image2.gif"/><Relationship Id="rId23" Type="http://schemas.openxmlformats.org/officeDocument/2006/relationships/hyperlink" Target="http://advisorperspectives.com/dshort/commentaries/Real-Incomes-Four-Years-After-the-Great-Recession-Part-2.php" TargetMode="External"/><Relationship Id="rId28" Type="http://schemas.openxmlformats.org/officeDocument/2006/relationships/hyperlink" Target="http://www.census.gov/cps/about/faq.html" TargetMode="External"/><Relationship Id="rId10" Type="http://schemas.openxmlformats.org/officeDocument/2006/relationships/hyperlink" Target="http://advisorperspectives.com/dshort/charts/census/monthly-household-income.html?household-income-monthly-median-since-2000.gif" TargetMode="External"/><Relationship Id="rId19" Type="http://schemas.openxmlformats.org/officeDocument/2006/relationships/hyperlink" Target="http://advisorperspectives.com/dshort/charts/census/monthly-household-income.html?household-income-real-median-growth-since-2000.gi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visorperspectives.com/dshort/commentaries/Real-Median-Household-Income-Growth.php" TargetMode="External"/><Relationship Id="rId14" Type="http://schemas.openxmlformats.org/officeDocument/2006/relationships/hyperlink" Target="http://advisorperspectives.com/dshort/charts/census/monthly-household-income.html?household-income-monthly-median-growth-since-2000.gif" TargetMode="External"/><Relationship Id="rId22" Type="http://schemas.openxmlformats.org/officeDocument/2006/relationships/hyperlink" Target="http://advisorperspectives.com/dshort/commentaries/Real-Incomes-Four-Years-After-the-Great-Recession.php" TargetMode="External"/><Relationship Id="rId27" Type="http://schemas.openxmlformats.org/officeDocument/2006/relationships/hyperlink" Target="http://www.sentierresearch.com/reports/Sentier_Household_Income_Trends_Report_July2013_09_02_13.pdf" TargetMode="External"/><Relationship Id="rId30" Type="http://schemas.openxmlformats.org/officeDocument/2006/relationships/hyperlink" Target="http://advisorperspectives.com/dshort/updates/Median-Household-Income-Upd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2013-12-06T17:43:00Z</dcterms:created>
  <dcterms:modified xsi:type="dcterms:W3CDTF">2013-12-06T17:44:00Z</dcterms:modified>
</cp:coreProperties>
</file>